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Eligibility criteria</w:t>
      </w:r>
    </w:p>
    <w:p w:rsidR="00000000" w:rsidDel="00000000" w:rsidP="00000000" w:rsidRDefault="00000000" w:rsidRPr="00000000" w14:paraId="0000000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/>
      </w:pPr>
      <w:r w:rsidDel="00000000" w:rsidR="00000000" w:rsidRPr="00000000">
        <w:rPr>
          <w:rtl w:val="0"/>
        </w:rPr>
        <w:t xml:space="preserve">Population: Adult patients over the age of 16, with pain located to the coccygeal bone. </w:t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tl w:val="0"/>
        </w:rPr>
        <w:t xml:space="preserve">Intervention: Any available treatment options, including conservative, interventional and invasive treatments, described in any eligible original paper. </w:t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  <w:t xml:space="preserve">Comparison: None </w:t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tl w:val="0"/>
        </w:rPr>
        <w:t xml:space="preserve">Outcome: Patient reported outcome measures, including: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Pain (e.g. VAS)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Quality of life (e.g. EQ-5D)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Disability (e.g. ODI)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Work absenteeism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Complications to intervention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Patient reported bettering</w:t>
      </w:r>
    </w:p>
    <w:p w:rsidR="00000000" w:rsidDel="00000000" w:rsidP="00000000" w:rsidRDefault="00000000" w:rsidRPr="00000000" w14:paraId="0000000D">
      <w:pPr>
        <w:spacing w:line="276" w:lineRule="auto"/>
        <w:rPr/>
      </w:pPr>
      <w:r w:rsidDel="00000000" w:rsidR="00000000" w:rsidRPr="00000000">
        <w:rPr>
          <w:rtl w:val="0"/>
        </w:rPr>
        <w:t xml:space="preserve">Study design: Original peer-reviewed papers, excluding systematic reviews and meta-analysis.</w:t>
      </w:r>
    </w:p>
    <w:p w:rsidR="00000000" w:rsidDel="00000000" w:rsidP="00000000" w:rsidRDefault="00000000" w:rsidRPr="00000000" w14:paraId="0000000E">
      <w:pPr>
        <w:spacing w:line="276" w:lineRule="auto"/>
        <w:rPr/>
      </w:pPr>
      <w:bookmarkStart w:colFirst="0" w:colLast="0" w:name="_1fob9te" w:id="0"/>
      <w:bookmarkEnd w:id="0"/>
      <w:r w:rsidDel="00000000" w:rsidR="00000000" w:rsidRPr="00000000">
        <w:rPr>
          <w:rtl w:val="0"/>
        </w:rPr>
        <w:t xml:space="preserve">Timeframe: Any original peer-reviewed articles published before January 17th, 2020.</w:t>
      </w:r>
    </w:p>
    <w:p w:rsidR="00000000" w:rsidDel="00000000" w:rsidP="00000000" w:rsidRDefault="00000000" w:rsidRPr="00000000" w14:paraId="0000000F">
      <w:pPr>
        <w:spacing w:line="276" w:lineRule="auto"/>
        <w:rPr/>
      </w:pPr>
      <w:r w:rsidDel="00000000" w:rsidR="00000000" w:rsidRPr="00000000">
        <w:rPr>
          <w:rtl w:val="0"/>
        </w:rPr>
        <w:t xml:space="preserve">Language: Any articles not written in English, Danish, Norwegian, Swedish, Serbian, Croatian, Bosnian or Spanish are excluded.</w:t>
      </w:r>
    </w:p>
    <w:p w:rsidR="00000000" w:rsidDel="00000000" w:rsidP="00000000" w:rsidRDefault="00000000" w:rsidRPr="00000000" w14:paraId="00000010">
      <w:pPr>
        <w:spacing w:line="276" w:lineRule="auto"/>
        <w:rPr/>
      </w:pPr>
      <w:r w:rsidDel="00000000" w:rsidR="00000000" w:rsidRPr="00000000">
        <w:rPr>
          <w:rtl w:val="0"/>
        </w:rPr>
        <w:t xml:space="preserve">Publication status: Original peer-reviewed papers and a pool of non-published data from DaneSpine will be included.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d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